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RESTRICTED ENTRIES TO THE SLOVENIA RESTAURANT AWARDS 2020</w:t>
      </w:r>
    </w:p>
    <w:p w:rsidR="00000000" w:rsidDel="00000000" w:rsidP="00000000" w:rsidRDefault="00000000" w:rsidRPr="00000000" w14:paraId="00000003">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With the national selection of The Slovenia Restaurant Awards and the arrival of foreign evaluations and the pride of the flattering title European Gastronomic Region, Slovenia is turning into an important gastronomic destination full of culinary experiences!</w:t>
      </w:r>
    </w:p>
    <w:p w:rsidR="00000000" w:rsidDel="00000000" w:rsidP="00000000" w:rsidRDefault="00000000" w:rsidRPr="00000000" w14:paraId="00000005">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Based on the votes received from the Gastronomic Academy (chefs, restaurant owners, gastronomic associations, media and foodies), we have compiled a list of 123 of the best restaurants in four regions of Slovenia, for which the general public votes in March.</w:t>
      </w:r>
    </w:p>
    <w:p w:rsidR="00000000" w:rsidDel="00000000" w:rsidP="00000000" w:rsidRDefault="00000000" w:rsidRPr="00000000" w14:paraId="00000007">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Voting for the general public began on 1st March at the official website of the selection </w:t>
      </w:r>
      <w:hyperlink r:id="rId6">
        <w:r w:rsidDel="00000000" w:rsidR="00000000" w:rsidRPr="00000000">
          <w:rPr>
            <w:rFonts w:ascii="Arial" w:cs="Arial" w:eastAsia="Arial" w:hAnsi="Arial"/>
            <w:color w:val="1155cc"/>
            <w:sz w:val="22"/>
            <w:szCs w:val="22"/>
            <w:u w:val="single"/>
            <w:rtl w:val="0"/>
          </w:rPr>
          <w:t xml:space="preserve">www.the-slovenia.com/tsra</w:t>
        </w:r>
      </w:hyperlink>
      <w:r w:rsidDel="00000000" w:rsidR="00000000" w:rsidRPr="00000000">
        <w:rPr>
          <w:rFonts w:ascii="Arial" w:cs="Arial" w:eastAsia="Arial" w:hAnsi="Arial"/>
          <w:sz w:val="22"/>
          <w:szCs w:val="22"/>
          <w:rtl w:val="0"/>
        </w:rPr>
        <w:t xml:space="preserve"> . Restaurants with the most votes from Gastronomic Academy were included in the public vote, half of which were from each Slovenia region. </w:t>
      </w:r>
    </w:p>
    <w:p w:rsidR="00000000" w:rsidDel="00000000" w:rsidP="00000000" w:rsidRDefault="00000000" w:rsidRPr="00000000" w14:paraId="00000009">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Non-publicly listed restaurants remain in the selection and will all be listed as </w:t>
      </w:r>
      <w:r w:rsidDel="00000000" w:rsidR="00000000" w:rsidRPr="00000000">
        <w:rPr>
          <w:rFonts w:ascii="Arial" w:cs="Arial" w:eastAsia="Arial" w:hAnsi="Arial"/>
          <w:i w:val="1"/>
          <w:sz w:val="22"/>
          <w:szCs w:val="22"/>
          <w:rtl w:val="0"/>
        </w:rPr>
        <w:t xml:space="preserve">“Recommended Restaurants”</w:t>
      </w:r>
      <w:r w:rsidDel="00000000" w:rsidR="00000000" w:rsidRPr="00000000">
        <w:rPr>
          <w:rFonts w:ascii="Arial" w:cs="Arial" w:eastAsia="Arial" w:hAnsi="Arial"/>
          <w:sz w:val="22"/>
          <w:szCs w:val="22"/>
          <w:rtl w:val="0"/>
        </w:rPr>
        <w:t xml:space="preserve"> and will be awarded labels as restaurants in The Slovenia Restaurant Awards 2020.</w:t>
      </w:r>
    </w:p>
    <w:p w:rsidR="00000000" w:rsidDel="00000000" w:rsidP="00000000" w:rsidRDefault="00000000" w:rsidRPr="00000000" w14:paraId="0000000A">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widowControl w:val="0"/>
        <w:spacing w:before="278.4" w:line="276" w:lineRule="auto"/>
        <w:ind w:left="-300" w:right="-316.79999999999836"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Gastronomic academy voted as followed:</w:t>
      </w:r>
      <w:r w:rsidDel="00000000" w:rsidR="00000000" w:rsidRPr="00000000">
        <w:rPr>
          <w:rFonts w:ascii="Arial" w:cs="Arial" w:eastAsia="Arial" w:hAnsi="Arial"/>
          <w:sz w:val="22"/>
          <w:szCs w:val="22"/>
          <w:rtl w:val="0"/>
        </w:rPr>
        <w:t xml:space="preserve"> Restaurants 416 votes, Gastronomic associations 151 votes, media &amp; foodies 110 votes. </w:t>
      </w:r>
    </w:p>
    <w:p w:rsidR="00000000" w:rsidDel="00000000" w:rsidP="00000000" w:rsidRDefault="00000000" w:rsidRPr="00000000" w14:paraId="0000000C">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Ranked restaurants in THE SLOVENIA RESTAURANT AWARDS 2020 by region (random order):</w:t>
      </w:r>
    </w:p>
    <w:p w:rsidR="00000000" w:rsidDel="00000000" w:rsidP="00000000" w:rsidRDefault="00000000" w:rsidRPr="00000000" w14:paraId="0000000E">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widowControl w:val="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Ljubljana &amp; Central Slovenia: </w:t>
      </w:r>
      <w:r w:rsidDel="00000000" w:rsidR="00000000" w:rsidRPr="00000000">
        <w:rPr>
          <w:rFonts w:ascii="Arial" w:cs="Arial" w:eastAsia="Arial" w:hAnsi="Arial"/>
          <w:sz w:val="22"/>
          <w:szCs w:val="22"/>
          <w:rtl w:val="0"/>
        </w:rPr>
        <w:t xml:space="preserve">JB Restavracija, Restavracija Strelec, Gostišče Grič, Restavracija Atelje, Tabar, Gostilna Dvor Jezeršek, Monstera Bistro, Gostilna Mihovec, Evergreen, Restavracija Cubo, Gostilna na Gradu, Gostilna Čubr, Danilo - gostilna &amp; vinoteka, Restavracija As, Argentino, Gostilna Kovač, Okrepčevalnica Čompa, Gostilnica 5-6kg, Japonska restavracija Maru, Gostilna Skaručna, Altroke, Kendov dvorec, Gostilna Belšak, Gostilna Pr Kopač, EK Bistro, Gostilna Pri Kuklju, Restavracija Maxim, Kralj Žara, Boschtiz, Kult316, Sushimama, B-restavracija, Gostilna Repnik, Harfa, Ošterija Pr’Noni, Gostilna Jakob Franc, Gostilna Ledinek, Gostilna Pr Čop, Gostilna pod Krvavcem, Domačija Javornik, Restavracija Slon 1552, Pri žabarju, Krtina D’Ampezzo. </w:t>
      </w:r>
    </w:p>
    <w:p w:rsidR="00000000" w:rsidDel="00000000" w:rsidP="00000000" w:rsidRDefault="00000000" w:rsidRPr="00000000" w14:paraId="00000010">
      <w:pPr>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1">
      <w:pPr>
        <w:widowControl w:val="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Alpine Slovenia: </w:t>
      </w:r>
      <w:r w:rsidDel="00000000" w:rsidR="00000000" w:rsidRPr="00000000">
        <w:rPr>
          <w:rFonts w:ascii="Arial" w:cs="Arial" w:eastAsia="Arial" w:hAnsi="Arial"/>
          <w:sz w:val="22"/>
          <w:szCs w:val="22"/>
          <w:rtl w:val="0"/>
        </w:rPr>
        <w:t xml:space="preserve">Hiša Franko, Vila Podvin, Restavracija Mak, Gostilna Krištof, Restavracija Sedem, Gostilna Ančka, Hiša Raduha, Gostilna Grič, Rožmarin, Gostilna Lectar, City Terasa, Gostilna Pri treh ribnikih, Fudo, Gostilna Lešnik, Hiša Polonka, Gostilna Kunstelj, Restavracija Milka, Gostilna in penzion Resje, Hotel Plesnik, Miza za štiri, Restavracija Topli Val, Gostilna Maribor, Gostilna Pr’ Bizjak, Gostilna Delalut, Dom na Joštu, Vila Prešeren, Restavracija 1906. </w:t>
      </w:r>
    </w:p>
    <w:p w:rsidR="00000000" w:rsidDel="00000000" w:rsidP="00000000" w:rsidRDefault="00000000" w:rsidRPr="00000000" w14:paraId="00000012">
      <w:pPr>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widowControl w:val="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Mediterranean &amp; Karst Slovenia: </w:t>
      </w:r>
      <w:r w:rsidDel="00000000" w:rsidR="00000000" w:rsidRPr="00000000">
        <w:rPr>
          <w:rFonts w:ascii="Arial" w:cs="Arial" w:eastAsia="Arial" w:hAnsi="Arial"/>
          <w:sz w:val="22"/>
          <w:szCs w:val="22"/>
          <w:rtl w:val="0"/>
        </w:rPr>
        <w:t xml:space="preserve">Gostilna pri Lojzetu - Dvorec Zemono,</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Domačija Butul, Domačija Majerija, Domačija Belica, Hiša Torkla, Gostilna Kobjeglava, Gostilna Mahorčič, COB, Domačija Kabaj Morel, Okrepčevalnica Ruj, Pikol, Turistična Kmetija Arkade Cigoj, Restavracija Dam, Nejka in Uroš Klinec, Špacapanova hiša, Gostilna Podfarovž, Gostilna Ribič, Restavracija hotela Marina, Restavracija Capra, Kužina Stara šola, Gostilna pri Mari, Etna, Gostilna Za gradom “Rodica”, Gostilna Bujol, Gostilna Žeja, Chang, Aviopub, Restavracija Noro, Restavracija Kamin, Hiša Marica, Domačija Šajna. </w:t>
      </w:r>
    </w:p>
    <w:p w:rsidR="00000000" w:rsidDel="00000000" w:rsidP="00000000" w:rsidRDefault="00000000" w:rsidRPr="00000000" w14:paraId="00000014">
      <w:pPr>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widowControl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widowControl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Thermal Pannonian Slovenia: </w:t>
      </w:r>
      <w:r w:rsidDel="00000000" w:rsidR="00000000" w:rsidRPr="00000000">
        <w:rPr>
          <w:rFonts w:ascii="Arial" w:cs="Arial" w:eastAsia="Arial" w:hAnsi="Arial"/>
          <w:sz w:val="22"/>
          <w:szCs w:val="22"/>
          <w:rtl w:val="0"/>
        </w:rPr>
        <w:t xml:space="preserve">Hiša Denk, Gostilna Rajh, Gostilna Repovž, Galerija okusov, Pavus - Grad Tabor, Ošterija Debeluh, Domačija Vino Gaube, Tri lučke, Gostilna in pivnica Stari Pisker, Domačija Novak, Gostilna Šiker, Hiša Fink, Gostilna Francl, Gostilna Kunst, Restavracija Kodila, Restavracija Grad Otočec, Taverna Kupljen, Gostilna Ribič, Gostilna Grabar, Gostilna Šempeter, Gostilna Vovko, Restavracija Amon. </w:t>
      </w:r>
      <w:r w:rsidDel="00000000" w:rsidR="00000000" w:rsidRPr="00000000">
        <w:rPr>
          <w:rtl w:val="0"/>
        </w:rPr>
      </w:r>
    </w:p>
    <w:p w:rsidR="00000000" w:rsidDel="00000000" w:rsidP="00000000" w:rsidRDefault="00000000" w:rsidRPr="00000000" w14:paraId="00000017">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Since voting is still in process, you can help rank your favorite restaurants in the top 10 in the region by completing the voting survey at </w:t>
      </w:r>
      <w:hyperlink r:id="rId7">
        <w:r w:rsidDel="00000000" w:rsidR="00000000" w:rsidRPr="00000000">
          <w:rPr>
            <w:rFonts w:ascii="Arial" w:cs="Arial" w:eastAsia="Arial" w:hAnsi="Arial"/>
            <w:color w:val="1155cc"/>
            <w:sz w:val="22"/>
            <w:szCs w:val="22"/>
            <w:u w:val="single"/>
            <w:rtl w:val="0"/>
          </w:rPr>
          <w:t xml:space="preserve">www.the-slovenia.com/tsra</w:t>
        </w:r>
      </w:hyperlink>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19">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invite you to join us in voting for the best restaurants of THE SLOVENIA RESTAURANT AWARDS 2020 and to participate in creating a culinary recognition of Slovenia!</w:t>
      </w:r>
    </w:p>
    <w:p w:rsidR="00000000" w:rsidDel="00000000" w:rsidP="00000000" w:rsidRDefault="00000000" w:rsidRPr="00000000" w14:paraId="0000001B">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widowControl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Public part of voting started March 1st and will end March 31st. You can submit your vote at </w:t>
      </w:r>
      <w:hyperlink r:id="rId8">
        <w:r w:rsidDel="00000000" w:rsidR="00000000" w:rsidRPr="00000000">
          <w:rPr>
            <w:rFonts w:ascii="Arial" w:cs="Arial" w:eastAsia="Arial" w:hAnsi="Arial"/>
            <w:b w:val="1"/>
            <w:color w:val="1155cc"/>
            <w:sz w:val="22"/>
            <w:szCs w:val="22"/>
            <w:u w:val="single"/>
            <w:rtl w:val="0"/>
          </w:rPr>
          <w:t xml:space="preserve">www.the-slovenia.com/en/tsra</w:t>
        </w:r>
      </w:hyperlink>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01D">
      <w:pPr>
        <w:widowControl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01E">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You can also follow us on social networks The Slovenia - Facebook, Instagram and LinkedIn #tsra. </w:t>
      </w:r>
    </w:p>
    <w:p w:rsidR="00000000" w:rsidDel="00000000" w:rsidP="00000000" w:rsidRDefault="00000000" w:rsidRPr="00000000" w14:paraId="0000001F">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 any additional information and statements, please contact us at </w:t>
      </w:r>
      <w:hyperlink r:id="rId9">
        <w:r w:rsidDel="00000000" w:rsidR="00000000" w:rsidRPr="00000000">
          <w:rPr>
            <w:rFonts w:ascii="Arial" w:cs="Arial" w:eastAsia="Arial" w:hAnsi="Arial"/>
            <w:color w:val="1155cc"/>
            <w:sz w:val="22"/>
            <w:szCs w:val="22"/>
            <w:u w:val="single"/>
            <w:rtl w:val="0"/>
          </w:rPr>
          <w:t xml:space="preserve">anja.celar@the-slovenia.com</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1">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widowControl w:val="0"/>
        <w:jc w:val="both"/>
        <w:rPr>
          <w:rFonts w:ascii="Arial" w:cs="Arial" w:eastAsia="Arial" w:hAnsi="Arial"/>
          <w:sz w:val="22"/>
          <w:szCs w:val="22"/>
        </w:rPr>
      </w:pPr>
      <w:r w:rsidDel="00000000" w:rsidR="00000000" w:rsidRPr="00000000">
        <w:rPr>
          <w:rtl w:val="0"/>
        </w:rPr>
      </w:r>
    </w:p>
    <w:sectPr>
      <w:headerReference r:id="rId10" w:type="default"/>
      <w:headerReference r:id="rId11" w:type="first"/>
      <w:footerReference r:id="rId12" w:type="default"/>
      <w:footerReference r:id="rId13" w:type="first"/>
      <w:pgSz w:h="16840" w:w="11920"/>
      <w:pgMar w:bottom="280" w:top="700" w:left="708.6614173228347" w:right="858.5433070866151" w:header="170.07874015748033" w:footer="170.0787401574803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widowControl w:val="0"/>
      <w:ind w:left="0" w:right="-15" w:firstLine="0"/>
      <w:rPr>
        <w:rFonts w:ascii="Helvetica Neue" w:cs="Helvetica Neue" w:eastAsia="Helvetica Neue" w:hAnsi="Helvetica Neue"/>
        <w:b w:val="1"/>
        <w:sz w:val="20"/>
        <w:szCs w:val="20"/>
      </w:rPr>
    </w:pPr>
    <w:r w:rsidDel="00000000" w:rsidR="00000000" w:rsidRPr="00000000">
      <w:rPr>
        <w:sz w:val="20"/>
        <w:szCs w:val="20"/>
      </w:rPr>
      <mc:AlternateContent>
        <mc:Choice Requires="wpg">
          <w:drawing>
            <wp:inline distB="0" distT="0" distL="0" distR="0">
              <wp:extent cx="6655435" cy="358141"/>
              <wp:effectExtent b="0" l="0" r="0" t="0"/>
              <wp:docPr id="1" name=""/>
              <a:graphic>
                <a:graphicData uri="http://schemas.microsoft.com/office/word/2010/wordprocessingShape">
                  <wps:wsp>
                    <wps:cNvSpPr/>
                    <wps:cNvPr id="2" name="Shape 2"/>
                    <wps:spPr>
                      <a:xfrm>
                        <a:off x="2023045" y="3605692"/>
                        <a:ext cx="6645910" cy="348616"/>
                      </a:xfrm>
                      <a:custGeom>
                        <a:rect b="b" l="l" r="r" t="t"/>
                        <a:pathLst>
                          <a:path extrusionOk="0" h="21600" w="21600">
                            <a:moveTo>
                              <a:pt x="18139" y="7279"/>
                            </a:moveTo>
                            <a:lnTo>
                              <a:pt x="18137" y="7318"/>
                            </a:lnTo>
                            <a:lnTo>
                              <a:pt x="18135" y="7397"/>
                            </a:lnTo>
                            <a:lnTo>
                              <a:pt x="18050" y="9285"/>
                            </a:lnTo>
                            <a:lnTo>
                              <a:pt x="18032" y="9679"/>
                            </a:lnTo>
                            <a:lnTo>
                              <a:pt x="17633" y="18531"/>
                            </a:lnTo>
                            <a:lnTo>
                              <a:pt x="0" y="18531"/>
                            </a:lnTo>
                            <a:lnTo>
                              <a:pt x="0" y="21600"/>
                            </a:lnTo>
                            <a:lnTo>
                              <a:pt x="17714" y="21600"/>
                            </a:lnTo>
                            <a:lnTo>
                              <a:pt x="17755" y="20577"/>
                            </a:lnTo>
                            <a:lnTo>
                              <a:pt x="18141" y="11961"/>
                            </a:lnTo>
                            <a:lnTo>
                              <a:pt x="18358" y="11961"/>
                            </a:lnTo>
                            <a:lnTo>
                              <a:pt x="18246" y="9600"/>
                            </a:lnTo>
                            <a:lnTo>
                              <a:pt x="18139" y="7279"/>
                            </a:lnTo>
                            <a:close/>
                            <a:moveTo>
                              <a:pt x="20655" y="11764"/>
                            </a:moveTo>
                            <a:lnTo>
                              <a:pt x="20438" y="11764"/>
                            </a:lnTo>
                            <a:lnTo>
                              <a:pt x="20898" y="21403"/>
                            </a:lnTo>
                            <a:lnTo>
                              <a:pt x="20902" y="21600"/>
                            </a:lnTo>
                            <a:lnTo>
                              <a:pt x="21600" y="21600"/>
                            </a:lnTo>
                            <a:lnTo>
                              <a:pt x="21600" y="18531"/>
                            </a:lnTo>
                            <a:lnTo>
                              <a:pt x="20977" y="18531"/>
                            </a:lnTo>
                            <a:lnTo>
                              <a:pt x="20655" y="11764"/>
                            </a:lnTo>
                            <a:close/>
                            <a:moveTo>
                              <a:pt x="19485" y="4643"/>
                            </a:moveTo>
                            <a:lnTo>
                              <a:pt x="19268" y="4643"/>
                            </a:lnTo>
                            <a:lnTo>
                              <a:pt x="20038" y="20734"/>
                            </a:lnTo>
                            <a:lnTo>
                              <a:pt x="20244" y="16092"/>
                            </a:lnTo>
                            <a:lnTo>
                              <a:pt x="20034" y="16092"/>
                            </a:lnTo>
                            <a:lnTo>
                              <a:pt x="19485" y="4643"/>
                            </a:lnTo>
                            <a:close/>
                            <a:moveTo>
                              <a:pt x="18358" y="11961"/>
                            </a:moveTo>
                            <a:lnTo>
                              <a:pt x="18141" y="11961"/>
                            </a:lnTo>
                            <a:lnTo>
                              <a:pt x="18554" y="20577"/>
                            </a:lnTo>
                            <a:lnTo>
                              <a:pt x="18556" y="20538"/>
                            </a:lnTo>
                            <a:lnTo>
                              <a:pt x="18760" y="15974"/>
                            </a:lnTo>
                            <a:lnTo>
                              <a:pt x="18550" y="15974"/>
                            </a:lnTo>
                            <a:lnTo>
                              <a:pt x="18358" y="11961"/>
                            </a:lnTo>
                            <a:close/>
                            <a:moveTo>
                              <a:pt x="21600" y="18531"/>
                            </a:moveTo>
                            <a:lnTo>
                              <a:pt x="20977" y="18531"/>
                            </a:lnTo>
                            <a:lnTo>
                              <a:pt x="21600" y="18531"/>
                            </a:lnTo>
                            <a:close/>
                            <a:moveTo>
                              <a:pt x="20434" y="7161"/>
                            </a:moveTo>
                            <a:lnTo>
                              <a:pt x="20337" y="9325"/>
                            </a:lnTo>
                            <a:lnTo>
                              <a:pt x="20329" y="9482"/>
                            </a:lnTo>
                            <a:lnTo>
                              <a:pt x="20034" y="16092"/>
                            </a:lnTo>
                            <a:lnTo>
                              <a:pt x="20244" y="16092"/>
                            </a:lnTo>
                            <a:lnTo>
                              <a:pt x="20438" y="11764"/>
                            </a:lnTo>
                            <a:lnTo>
                              <a:pt x="20655" y="11764"/>
                            </a:lnTo>
                            <a:lnTo>
                              <a:pt x="20434" y="7161"/>
                            </a:lnTo>
                            <a:close/>
                            <a:moveTo>
                              <a:pt x="19264" y="0"/>
                            </a:moveTo>
                            <a:lnTo>
                              <a:pt x="19255" y="197"/>
                            </a:lnTo>
                            <a:lnTo>
                              <a:pt x="19229" y="787"/>
                            </a:lnTo>
                            <a:lnTo>
                              <a:pt x="19173" y="2046"/>
                            </a:lnTo>
                            <a:lnTo>
                              <a:pt x="19158" y="2361"/>
                            </a:lnTo>
                            <a:lnTo>
                              <a:pt x="18550" y="15974"/>
                            </a:lnTo>
                            <a:lnTo>
                              <a:pt x="18760" y="15974"/>
                            </a:lnTo>
                            <a:lnTo>
                              <a:pt x="19268" y="4643"/>
                            </a:lnTo>
                            <a:lnTo>
                              <a:pt x="19485" y="4643"/>
                            </a:lnTo>
                            <a:lnTo>
                              <a:pt x="19268" y="118"/>
                            </a:lnTo>
                            <a:lnTo>
                              <a:pt x="19264" y="0"/>
                            </a:lnTo>
                            <a:close/>
                          </a:path>
                        </a:pathLst>
                      </a:custGeom>
                      <a:solidFill>
                        <a:srgbClr val="000000"/>
                      </a:solidFill>
                      <a:ln>
                        <a:noFill/>
                      </a:ln>
                    </wps:spPr>
                    <wps:bodyPr anchorCtr="0" anchor="ctr" bIns="91425" lIns="91425" spcFirstLastPara="1" rIns="91425" wrap="square" tIns="91425">
                      <a:noAutofit/>
                    </wps:bodyPr>
                  </wps:wsp>
                </a:graphicData>
              </a:graphic>
            </wp:inline>
          </w:drawing>
        </mc:Choice>
        <mc:Fallback>
          <w:drawing>
            <wp:inline distB="0" distT="0" distL="0" distR="0">
              <wp:extent cx="6655435" cy="358141"/>
              <wp:effectExtent b="0" l="0" r="0" t="0"/>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655435" cy="35814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A">
    <w:pPr>
      <w:widowControl w:val="0"/>
      <w:spacing w:before="47" w:lineRule="auto"/>
      <w:ind w:right="-15"/>
      <w:jc w:val="center"/>
      <w:rPr>
        <w:rFonts w:ascii="Helvetica Neue" w:cs="Helvetica Neue" w:eastAsia="Helvetica Neue" w:hAnsi="Helvetica Neue"/>
        <w:b w:val="0"/>
        <w:i w:val="0"/>
        <w:smallCaps w:val="0"/>
        <w:strike w:val="0"/>
        <w:color w:val="000000"/>
        <w:sz w:val="22"/>
        <w:szCs w:val="22"/>
        <w:u w:val="none"/>
        <w:shd w:fill="auto" w:val="clear"/>
        <w:vertAlign w:val="baseline"/>
      </w:rPr>
    </w:pPr>
    <w:hyperlink r:id="rId2">
      <w:r w:rsidDel="00000000" w:rsidR="00000000" w:rsidRPr="00000000">
        <w:rPr>
          <w:rFonts w:ascii="Helvetica Neue" w:cs="Helvetica Neue" w:eastAsia="Helvetica Neue" w:hAnsi="Helvetica Neue"/>
          <w:color w:val="275b9b"/>
          <w:sz w:val="20"/>
          <w:szCs w:val="20"/>
          <w:u w:val="single"/>
          <w:rtl w:val="0"/>
        </w:rPr>
        <w:t xml:space="preserve">www.the-slovenia.com</w:t>
      </w:r>
    </w:hyperlink>
    <w:r w:rsidDel="00000000" w:rsidR="00000000" w:rsidRPr="00000000">
      <w:rPr>
        <w:rFonts w:ascii="Helvetica Neue" w:cs="Helvetica Neue" w:eastAsia="Helvetica Neue" w:hAnsi="Helvetica Neue"/>
        <w:sz w:val="22"/>
        <w:szCs w:val="22"/>
        <w:rtl w:val="0"/>
      </w:rPr>
      <w:t xml:space="preserve">, IQbator d.o.o, Miklošičev 38, 1000 Ljubljana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widowControl w:val="0"/>
      <w:spacing w:before="47" w:lineRule="auto"/>
      <w:ind w:right="-15"/>
      <w:jc w:val="center"/>
      <w:rPr>
        <w:rFonts w:ascii="Helvetica Neue" w:cs="Helvetica Neue" w:eastAsia="Helvetica Neue" w:hAnsi="Helvetica Neue"/>
        <w:sz w:val="20"/>
        <w:szCs w:val="20"/>
      </w:rPr>
    </w:pPr>
    <w:hyperlink r:id="rId1">
      <w:r w:rsidDel="00000000" w:rsidR="00000000" w:rsidRPr="00000000">
        <w:rPr>
          <w:rFonts w:ascii="Helvetica Neue" w:cs="Helvetica Neue" w:eastAsia="Helvetica Neue" w:hAnsi="Helvetica Neue"/>
          <w:color w:val="1155cc"/>
          <w:sz w:val="20"/>
          <w:szCs w:val="20"/>
          <w:u w:val="single"/>
          <w:rtl w:val="0"/>
        </w:rPr>
        <w:t xml:space="preserve">www.the-slovenia.com</w:t>
      </w:r>
    </w:hyperlink>
    <w:r w:rsidDel="00000000" w:rsidR="00000000" w:rsidRPr="00000000">
      <w:rPr>
        <w:rFonts w:ascii="Helvetica Neue" w:cs="Helvetica Neue" w:eastAsia="Helvetica Neue" w:hAnsi="Helvetica Neue"/>
        <w:sz w:val="20"/>
        <w:szCs w:val="20"/>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left" w:pos="7351"/>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widowControl w:val="0"/>
      <w:tabs>
        <w:tab w:val="left" w:pos="7351"/>
      </w:tabs>
      <w:ind w:right="-15"/>
      <w:rPr>
        <w:sz w:val="33.333333333333336"/>
        <w:szCs w:val="33.333333333333336"/>
        <w:vertAlign w:val="superscript"/>
      </w:rPr>
    </w:pPr>
    <w:r w:rsidDel="00000000" w:rsidR="00000000" w:rsidRPr="00000000">
      <w:rPr>
        <w:sz w:val="33.333333333333336"/>
        <w:szCs w:val="33.333333333333336"/>
        <w:vertAlign w:val="superscript"/>
      </w:rPr>
      <w:drawing>
        <wp:inline distB="0" distT="0" distL="0" distR="0">
          <wp:extent cx="556562" cy="592087"/>
          <wp:effectExtent b="0" l="0" r="0" t="0"/>
          <wp:docPr descr="image1.png" id="4" name="image1.png"/>
          <a:graphic>
            <a:graphicData uri="http://schemas.openxmlformats.org/drawingml/2006/picture">
              <pic:pic>
                <pic:nvPicPr>
                  <pic:cNvPr descr="image1.png" id="0" name="image1.png"/>
                  <pic:cNvPicPr preferRelativeResize="0"/>
                </pic:nvPicPr>
                <pic:blipFill>
                  <a:blip r:embed="rId1"/>
                  <a:srcRect b="0" l="0" r="0" t="0"/>
                  <a:stretch>
                    <a:fillRect/>
                  </a:stretch>
                </pic:blipFill>
                <pic:spPr>
                  <a:xfrm>
                    <a:off x="0" y="0"/>
                    <a:ext cx="556562" cy="592087"/>
                  </a:xfrm>
                  <a:prstGeom prst="rect"/>
                  <a:ln/>
                </pic:spPr>
              </pic:pic>
            </a:graphicData>
          </a:graphic>
        </wp:inline>
      </w:drawing>
    </w:r>
    <w:r w:rsidDel="00000000" w:rsidR="00000000" w:rsidRPr="00000000">
      <w:rPr>
        <w:sz w:val="33.333333333333336"/>
        <w:szCs w:val="33.333333333333336"/>
        <w:vertAlign w:val="superscript"/>
      </w:rPr>
      <w:drawing>
        <wp:inline distB="114300" distT="114300" distL="114300" distR="114300">
          <wp:extent cx="1128713" cy="675298"/>
          <wp:effectExtent b="0" l="0" r="0" t="0"/>
          <wp:docPr id="3"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128713" cy="67529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widowControl w:val="0"/>
      <w:tabs>
        <w:tab w:val="left" w:pos="7351"/>
      </w:tabs>
      <w:ind w:right="-15"/>
      <w:rPr>
        <w:sz w:val="20"/>
        <w:szCs w:val="20"/>
      </w:rPr>
    </w:pPr>
    <w:r w:rsidDel="00000000" w:rsidR="00000000" w:rsidRPr="00000000">
      <w:rPr>
        <w:sz w:val="20"/>
        <w:szCs w:val="20"/>
      </w:rPr>
      <mc:AlternateContent>
        <mc:Choice Requires="wpg">
          <w:drawing>
            <wp:inline distB="0" distT="0" distL="0" distR="0">
              <wp:extent cx="6655435" cy="358141"/>
              <wp:effectExtent b="0" l="0" r="0" t="0"/>
              <wp:docPr id="2" name=""/>
              <a:graphic>
                <a:graphicData uri="http://schemas.microsoft.com/office/word/2010/wordprocessingShape">
                  <wps:wsp>
                    <wps:cNvSpPr/>
                    <wps:cNvPr id="2" name="Shape 2"/>
                    <wps:spPr>
                      <a:xfrm>
                        <a:off x="2023045" y="3605692"/>
                        <a:ext cx="6645910" cy="348616"/>
                      </a:xfrm>
                      <a:custGeom>
                        <a:rect b="b" l="l" r="r" t="t"/>
                        <a:pathLst>
                          <a:path extrusionOk="0" h="21600" w="21600">
                            <a:moveTo>
                              <a:pt x="18139" y="7279"/>
                            </a:moveTo>
                            <a:lnTo>
                              <a:pt x="18137" y="7318"/>
                            </a:lnTo>
                            <a:lnTo>
                              <a:pt x="18135" y="7397"/>
                            </a:lnTo>
                            <a:lnTo>
                              <a:pt x="18050" y="9285"/>
                            </a:lnTo>
                            <a:lnTo>
                              <a:pt x="18032" y="9679"/>
                            </a:lnTo>
                            <a:lnTo>
                              <a:pt x="17633" y="18531"/>
                            </a:lnTo>
                            <a:lnTo>
                              <a:pt x="0" y="18531"/>
                            </a:lnTo>
                            <a:lnTo>
                              <a:pt x="0" y="21600"/>
                            </a:lnTo>
                            <a:lnTo>
                              <a:pt x="17714" y="21600"/>
                            </a:lnTo>
                            <a:lnTo>
                              <a:pt x="17755" y="20577"/>
                            </a:lnTo>
                            <a:lnTo>
                              <a:pt x="18141" y="11961"/>
                            </a:lnTo>
                            <a:lnTo>
                              <a:pt x="18358" y="11961"/>
                            </a:lnTo>
                            <a:lnTo>
                              <a:pt x="18246" y="9600"/>
                            </a:lnTo>
                            <a:lnTo>
                              <a:pt x="18139" y="7279"/>
                            </a:lnTo>
                            <a:close/>
                            <a:moveTo>
                              <a:pt x="20655" y="11764"/>
                            </a:moveTo>
                            <a:lnTo>
                              <a:pt x="20438" y="11764"/>
                            </a:lnTo>
                            <a:lnTo>
                              <a:pt x="20898" y="21403"/>
                            </a:lnTo>
                            <a:lnTo>
                              <a:pt x="20902" y="21600"/>
                            </a:lnTo>
                            <a:lnTo>
                              <a:pt x="21600" y="21600"/>
                            </a:lnTo>
                            <a:lnTo>
                              <a:pt x="21600" y="18531"/>
                            </a:lnTo>
                            <a:lnTo>
                              <a:pt x="20977" y="18531"/>
                            </a:lnTo>
                            <a:lnTo>
                              <a:pt x="20655" y="11764"/>
                            </a:lnTo>
                            <a:close/>
                            <a:moveTo>
                              <a:pt x="19485" y="4643"/>
                            </a:moveTo>
                            <a:lnTo>
                              <a:pt x="19268" y="4643"/>
                            </a:lnTo>
                            <a:lnTo>
                              <a:pt x="20038" y="20734"/>
                            </a:lnTo>
                            <a:lnTo>
                              <a:pt x="20244" y="16092"/>
                            </a:lnTo>
                            <a:lnTo>
                              <a:pt x="20034" y="16092"/>
                            </a:lnTo>
                            <a:lnTo>
                              <a:pt x="19485" y="4643"/>
                            </a:lnTo>
                            <a:close/>
                            <a:moveTo>
                              <a:pt x="18358" y="11961"/>
                            </a:moveTo>
                            <a:lnTo>
                              <a:pt x="18141" y="11961"/>
                            </a:lnTo>
                            <a:lnTo>
                              <a:pt x="18554" y="20577"/>
                            </a:lnTo>
                            <a:lnTo>
                              <a:pt x="18556" y="20538"/>
                            </a:lnTo>
                            <a:lnTo>
                              <a:pt x="18760" y="15974"/>
                            </a:lnTo>
                            <a:lnTo>
                              <a:pt x="18550" y="15974"/>
                            </a:lnTo>
                            <a:lnTo>
                              <a:pt x="18358" y="11961"/>
                            </a:lnTo>
                            <a:close/>
                            <a:moveTo>
                              <a:pt x="21600" y="18531"/>
                            </a:moveTo>
                            <a:lnTo>
                              <a:pt x="20977" y="18531"/>
                            </a:lnTo>
                            <a:lnTo>
                              <a:pt x="21600" y="18531"/>
                            </a:lnTo>
                            <a:close/>
                            <a:moveTo>
                              <a:pt x="20434" y="7161"/>
                            </a:moveTo>
                            <a:lnTo>
                              <a:pt x="20337" y="9325"/>
                            </a:lnTo>
                            <a:lnTo>
                              <a:pt x="20329" y="9482"/>
                            </a:lnTo>
                            <a:lnTo>
                              <a:pt x="20034" y="16092"/>
                            </a:lnTo>
                            <a:lnTo>
                              <a:pt x="20244" y="16092"/>
                            </a:lnTo>
                            <a:lnTo>
                              <a:pt x="20438" y="11764"/>
                            </a:lnTo>
                            <a:lnTo>
                              <a:pt x="20655" y="11764"/>
                            </a:lnTo>
                            <a:lnTo>
                              <a:pt x="20434" y="7161"/>
                            </a:lnTo>
                            <a:close/>
                            <a:moveTo>
                              <a:pt x="19264" y="0"/>
                            </a:moveTo>
                            <a:lnTo>
                              <a:pt x="19255" y="197"/>
                            </a:lnTo>
                            <a:lnTo>
                              <a:pt x="19229" y="787"/>
                            </a:lnTo>
                            <a:lnTo>
                              <a:pt x="19173" y="2046"/>
                            </a:lnTo>
                            <a:lnTo>
                              <a:pt x="19158" y="2361"/>
                            </a:lnTo>
                            <a:lnTo>
                              <a:pt x="18550" y="15974"/>
                            </a:lnTo>
                            <a:lnTo>
                              <a:pt x="18760" y="15974"/>
                            </a:lnTo>
                            <a:lnTo>
                              <a:pt x="19268" y="4643"/>
                            </a:lnTo>
                            <a:lnTo>
                              <a:pt x="19485" y="4643"/>
                            </a:lnTo>
                            <a:lnTo>
                              <a:pt x="19268" y="118"/>
                            </a:lnTo>
                            <a:lnTo>
                              <a:pt x="19264" y="0"/>
                            </a:lnTo>
                            <a:close/>
                          </a:path>
                        </a:pathLst>
                      </a:custGeom>
                      <a:solidFill>
                        <a:srgbClr val="000000"/>
                      </a:solidFill>
                      <a:ln>
                        <a:noFill/>
                      </a:ln>
                    </wps:spPr>
                    <wps:bodyPr anchorCtr="0" anchor="ctr" bIns="91425" lIns="91425" spcFirstLastPara="1" rIns="91425" wrap="square" tIns="91425">
                      <a:noAutofit/>
                    </wps:bodyPr>
                  </wps:wsp>
                </a:graphicData>
              </a:graphic>
            </wp:inline>
          </w:drawing>
        </mc:Choice>
        <mc:Fallback>
          <w:drawing>
            <wp:inline distB="0" distT="0" distL="0" distR="0">
              <wp:extent cx="6655435" cy="358141"/>
              <wp:effectExtent b="0" l="0" r="0" t="0"/>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655435" cy="35814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D">
    <w:pPr>
      <w:widowControl w:val="0"/>
      <w:spacing w:before="2" w:lineRule="auto"/>
      <w:ind w:left="0" w:firstLine="0"/>
      <w:rPr>
        <w:sz w:val="10"/>
        <w:szCs w:val="10"/>
      </w:rPr>
    </w:pPr>
    <w:r w:rsidDel="00000000" w:rsidR="00000000" w:rsidRPr="00000000">
      <w:rPr>
        <w:rtl w:val="0"/>
      </w:rPr>
    </w:r>
  </w:p>
  <w:p w:rsidR="00000000" w:rsidDel="00000000" w:rsidP="00000000" w:rsidRDefault="00000000" w:rsidRPr="00000000" w14:paraId="0000002E">
    <w:pPr>
      <w:widowControl w:val="0"/>
      <w:ind w:left="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Press Release</w:t>
    </w:r>
  </w:p>
  <w:p w:rsidR="00000000" w:rsidDel="00000000" w:rsidP="00000000" w:rsidRDefault="00000000" w:rsidRPr="00000000" w14:paraId="0000002F">
    <w:pPr>
      <w:widowControl w:val="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Ljubljana, 3/2/2020</w:t>
    </w:r>
  </w:p>
  <w:p w:rsidR="00000000" w:rsidDel="00000000" w:rsidP="00000000" w:rsidRDefault="00000000" w:rsidRPr="00000000" w14:paraId="00000030">
    <w:pPr>
      <w:widowControl w:val="0"/>
      <w:jc w:val="both"/>
      <w:rPr>
        <w:rFonts w:ascii="Arial" w:cs="Arial" w:eastAsia="Arial" w:hAnsi="Arial"/>
        <w:b w:val="1"/>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ja.celar@the-slovenia.com" TargetMode="External"/><Relationship Id="rId5" Type="http://schemas.openxmlformats.org/officeDocument/2006/relationships/styles" Target="styles.xml"/><Relationship Id="rId6" Type="http://schemas.openxmlformats.org/officeDocument/2006/relationships/hyperlink" Target="http://www.the-slovenia.com/tsra" TargetMode="External"/><Relationship Id="rId7" Type="http://schemas.openxmlformats.org/officeDocument/2006/relationships/hyperlink" Target="http://www.the-slovenia.com/tsra" TargetMode="External"/><Relationship Id="rId8" Type="http://schemas.openxmlformats.org/officeDocument/2006/relationships/hyperlink" Target="http://www.the-slovenia.com/en/tsr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www.the-sloveni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he-sloven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