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before="638.4000000000001" w:line="276" w:lineRule="auto"/>
        <w:ind w:left="0" w:right="480.00000000000114"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UVRŠČENE RESTAVRACIJE V OŽJI IZBOR GLASOVANJA THE SLOVENIA RESTAURANT AWARDS 2020</w:t>
      </w:r>
      <w:r w:rsidDel="00000000" w:rsidR="00000000" w:rsidRPr="00000000">
        <w:rPr>
          <w:rtl w:val="0"/>
        </w:rPr>
      </w:r>
    </w:p>
    <w:p w:rsidR="00000000" w:rsidDel="00000000" w:rsidP="00000000" w:rsidRDefault="00000000" w:rsidRPr="00000000" w14:paraId="00000002">
      <w:pPr>
        <w:widowControl w:val="0"/>
        <w:spacing w:before="638.4000000000001" w:line="276" w:lineRule="auto"/>
        <w:ind w:left="0" w:right="480.00000000000114" w:firstLine="0"/>
        <w:jc w:val="both"/>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Slovenija se z nacionalnim izborom The Slovenia Restaurant Awards in prihodom tujih ocenjevanj ter ponašanjem z laskavim nazivom Evropska gastronomska regija 2021, spreminja v pomembno gastronomsko destinacijo, polno kulinaričnih doživetij! </w:t>
      </w:r>
    </w:p>
    <w:p w:rsidR="00000000" w:rsidDel="00000000" w:rsidP="00000000" w:rsidRDefault="00000000" w:rsidRPr="00000000" w14:paraId="00000003">
      <w:pPr>
        <w:widowControl w:val="0"/>
        <w:spacing w:before="278.4" w:line="276" w:lineRule="auto"/>
        <w:ind w:left="-297.6" w:right="-316.79999999999836"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Na podlagi prejetih glasov, pridobljenih s strani Gastronomske akademije (chefi, lastniki restavracij, gastronomska združenja, mediji in foodiji), smo oblikovali seznam 123 najboljših restavracij iz štirih regij Slovenije, za katere v mesecu marcu glasuje splošna javnost. </w:t>
      </w:r>
    </w:p>
    <w:p w:rsidR="00000000" w:rsidDel="00000000" w:rsidP="00000000" w:rsidRDefault="00000000" w:rsidRPr="00000000" w14:paraId="00000004">
      <w:pPr>
        <w:widowControl w:val="0"/>
        <w:spacing w:before="278.4" w:line="276" w:lineRule="auto"/>
        <w:ind w:left="-297.6" w:right="-316.79999999999836"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Glasovanje za javnost se je začelo od 1.3.2020 </w:t>
      </w:r>
      <w:r w:rsidDel="00000000" w:rsidR="00000000" w:rsidRPr="00000000">
        <w:rPr>
          <w:rFonts w:ascii="Arial" w:cs="Arial" w:eastAsia="Arial" w:hAnsi="Arial"/>
          <w:sz w:val="22"/>
          <w:szCs w:val="22"/>
          <w:rtl w:val="0"/>
        </w:rPr>
        <w:t xml:space="preserve">na uradni spletni strani izbora </w:t>
      </w:r>
      <w:r w:rsidDel="00000000" w:rsidR="00000000" w:rsidRPr="00000000">
        <w:rPr>
          <w:rFonts w:ascii="Arial" w:cs="Arial" w:eastAsia="Arial" w:hAnsi="Arial"/>
          <w:b w:val="1"/>
          <w:sz w:val="22"/>
          <w:szCs w:val="22"/>
          <w:rtl w:val="0"/>
        </w:rPr>
        <w:t xml:space="preserve">www.the-slovenia.com/tsra</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rtl w:val="0"/>
        </w:rPr>
        <w:t xml:space="preserve"> V javni del glasovanja so se uvrstile restavracije pridobljene z več glasovi, od tega je polovica restavracij iz vsake regije. Restavracije, ki se v javni del glasovanja niso uvrstile, ostajajo v izboru in bodo vse uvrščene med priporočene "Recommended restaurants" ter prejele nalepke kot restavracije v izboru The Slovenia Restaurant Awards 2020. </w:t>
      </w:r>
    </w:p>
    <w:p w:rsidR="00000000" w:rsidDel="00000000" w:rsidP="00000000" w:rsidRDefault="00000000" w:rsidRPr="00000000" w14:paraId="00000005">
      <w:pPr>
        <w:widowControl w:val="0"/>
        <w:spacing w:before="278.4" w:line="276" w:lineRule="auto"/>
        <w:ind w:left="-297.6" w:right="-316.79999999999836"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Glasovi gastronomske akademije:</w:t>
      </w:r>
      <w:r w:rsidDel="00000000" w:rsidR="00000000" w:rsidRPr="00000000">
        <w:rPr>
          <w:rFonts w:ascii="Arial" w:cs="Arial" w:eastAsia="Arial" w:hAnsi="Arial"/>
          <w:sz w:val="22"/>
          <w:szCs w:val="22"/>
          <w:rtl w:val="0"/>
        </w:rPr>
        <w:t xml:space="preserve"> restavracije 416 glasov, gastronomska društva 151 glasova, mediji in foodiji 110 glasov.</w:t>
      </w:r>
    </w:p>
    <w:p w:rsidR="00000000" w:rsidDel="00000000" w:rsidP="00000000" w:rsidRDefault="00000000" w:rsidRPr="00000000" w14:paraId="00000006">
      <w:pPr>
        <w:widowControl w:val="0"/>
        <w:spacing w:before="235.2" w:line="276" w:lineRule="auto"/>
        <w:ind w:left="-297.6" w:right="-311.9999999999982"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widowControl w:val="0"/>
        <w:spacing w:before="235.2" w:line="276" w:lineRule="auto"/>
        <w:ind w:left="-297.6" w:right="-311.9999999999982"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Uvrščene restavracije v izboru THE SLOVENIA RESTAURANT AWARDS 2020 po regijah (naključno napisane): </w:t>
      </w:r>
    </w:p>
    <w:p w:rsidR="00000000" w:rsidDel="00000000" w:rsidP="00000000" w:rsidRDefault="00000000" w:rsidRPr="00000000" w14:paraId="00000008">
      <w:pPr>
        <w:widowControl w:val="0"/>
        <w:spacing w:before="235.2" w:line="276" w:lineRule="auto"/>
        <w:ind w:left="-297.6" w:right="-311.9999999999982"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Alpska Slovenija: </w:t>
      </w:r>
      <w:r w:rsidDel="00000000" w:rsidR="00000000" w:rsidRPr="00000000">
        <w:rPr>
          <w:rFonts w:ascii="Arial" w:cs="Arial" w:eastAsia="Arial" w:hAnsi="Arial"/>
          <w:sz w:val="22"/>
          <w:szCs w:val="22"/>
          <w:rtl w:val="0"/>
        </w:rPr>
        <w:t xml:space="preserve">Hiša Franko, Vila Podvin, Restavracija Mak, Gostilna Krištof, Restavracija Sedem, Gostilna Ančka, Hiša Raduha, Gostilna Grič, Rožmarin, Gostilna Lectar, City Terasa, Gostilna Pri treh ribnikih, Fudo, Gostilna Lešnik, Hiša Polonka, Gostilna Kunstelj, Restavracija Milka, Gostilna in penzion Resje, Hotel Plesnik, Miza za štiri, Restavracija Topli Val, Gostilna Maribor, Gostilna Pr’ Bizjak, Gostilna Delalut, Dom na Joštu, Vila Prešeren, Restavracija 1906. </w:t>
      </w:r>
    </w:p>
    <w:p w:rsidR="00000000" w:rsidDel="00000000" w:rsidP="00000000" w:rsidRDefault="00000000" w:rsidRPr="00000000" w14:paraId="00000009">
      <w:pPr>
        <w:widowControl w:val="0"/>
        <w:spacing w:before="235.2" w:line="276" w:lineRule="auto"/>
        <w:ind w:left="-297.6" w:right="-311.9999999999982"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Mediteranska &amp; Kraška Slovenija:  </w:t>
      </w:r>
      <w:r w:rsidDel="00000000" w:rsidR="00000000" w:rsidRPr="00000000">
        <w:rPr>
          <w:rFonts w:ascii="Arial" w:cs="Arial" w:eastAsia="Arial" w:hAnsi="Arial"/>
          <w:sz w:val="22"/>
          <w:szCs w:val="22"/>
          <w:rtl w:val="0"/>
        </w:rPr>
        <w:t xml:space="preserve">Gostilna pri Lojzetu - Dvorec Zemono,</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Domačija Butul, Domačija Majerija, Domačija Belica, Hiša Torkla, Gostilna Kobjeglava, Gostilna Mahorčič, COB, Domačija Kabaj Morel, Okrepčevalnica Ruj, Pikol, Turistična Kmetija Arkade Cigoj, Restavracija Dam, Nejka in Uroš Klinec, Špacapanova hiša, Gostilna Podfarovž, Gostilna Ribič, Restavracija hotela Marina, Restavracija Capra, Kužina Stara šola, Gostilna pri Mari, Etna, Gostilna Za gradom “Rodica”, Gostilna Bujol, Gostilna Žeja, Chang, Aviopub, Restavracija Noro, Restavracija Kamin, Hiša Marica, Domačija Šajna. </w:t>
      </w:r>
    </w:p>
    <w:p w:rsidR="00000000" w:rsidDel="00000000" w:rsidP="00000000" w:rsidRDefault="00000000" w:rsidRPr="00000000" w14:paraId="0000000A">
      <w:pPr>
        <w:widowControl w:val="0"/>
        <w:spacing w:before="235.2" w:line="276" w:lineRule="auto"/>
        <w:ind w:left="-297.6" w:right="-311.9999999999982"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Termalna Panonska Slovenija: </w:t>
      </w:r>
      <w:r w:rsidDel="00000000" w:rsidR="00000000" w:rsidRPr="00000000">
        <w:rPr>
          <w:rFonts w:ascii="Arial" w:cs="Arial" w:eastAsia="Arial" w:hAnsi="Arial"/>
          <w:sz w:val="22"/>
          <w:szCs w:val="22"/>
          <w:rtl w:val="0"/>
        </w:rPr>
        <w:t xml:space="preserve">Hiša Denk, Gostilna Rajh, Gostilna Repovž, Galerija okusov, Pavus - Grad Tabor, Ošterija Debeluh, Domačija Vino Gaube, Tri lučke, Gostilna in pivnica Stari Pisker, Domačija Novak, Gostilna Šiker, Hiša Fink, Gostilna Francl, Gostilna Kunst, Restavracija Kodila, Restavracija Grad Otočec, Taverna Kupljen, Gostilna Ribič, Gostilna Grabar, Gostilna Šempeter, Gostilna Vovko, Restavracija Amon. </w:t>
      </w:r>
      <w:r w:rsidDel="00000000" w:rsidR="00000000" w:rsidRPr="00000000">
        <w:rPr>
          <w:rtl w:val="0"/>
        </w:rPr>
      </w:r>
    </w:p>
    <w:p w:rsidR="00000000" w:rsidDel="00000000" w:rsidP="00000000" w:rsidRDefault="00000000" w:rsidRPr="00000000" w14:paraId="0000000B">
      <w:pPr>
        <w:widowControl w:val="0"/>
        <w:spacing w:before="235.2" w:line="276" w:lineRule="auto"/>
        <w:ind w:left="-297.6" w:right="-311.9999999999982"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Ljubljana &amp; Osrednja Slovenija: </w:t>
      </w:r>
      <w:r w:rsidDel="00000000" w:rsidR="00000000" w:rsidRPr="00000000">
        <w:rPr>
          <w:rFonts w:ascii="Arial" w:cs="Arial" w:eastAsia="Arial" w:hAnsi="Arial"/>
          <w:sz w:val="22"/>
          <w:szCs w:val="22"/>
          <w:rtl w:val="0"/>
        </w:rPr>
        <w:t xml:space="preserve">JB Restavracija, Restavracija Strelec, Gostišče Grič, Restavracija Atelje, Tabar, Gostilna Dvor Jezeršek, Monstera Bistro, Gostilna Mihovec, Evergreen, Restavracija Cubo, Gostilna na Gradu, Gostilna Čubr, Danilo - gostilna &amp; vinoteka, Restavracija As, Argentino, Gostilna Kovač, Okrepčevalnica Čompa, Gostilnica 5-6kg, Japonska restavracija Maru, Gostilna Skaručna, Altroke, Kendov dvorec, Gostilna Belšak, Gostilna Pr Kopač, EK Bistro, Gostilna Pri Kuklju, Restavracija Maxim, Kralj Žara, Boschtiz, Kult316, Sushimama, B-restavracija, Gostilna Repnik, Harfa, Ošterija Pr’Noni, Gostilna Jakob Franc, Gostilna Ledinek, Gostilna Pr Čop, Gostilna pod Krvavcem, Domačija Javornik, Restavracija Slon 1552, Pri žabarju, Krtina D’Ampezzo. </w:t>
      </w:r>
    </w:p>
    <w:p w:rsidR="00000000" w:rsidDel="00000000" w:rsidP="00000000" w:rsidRDefault="00000000" w:rsidRPr="00000000" w14:paraId="0000000C">
      <w:pPr>
        <w:widowControl w:val="0"/>
        <w:spacing w:before="235.2" w:line="276" w:lineRule="auto"/>
        <w:ind w:left="-297.6" w:right="-311.999999999998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Ker glasovanje še ni zaključeno, lahko z glasovanjem pomagate, da se vaše priljubljene restavracije uvrstijo med najboljših 10 v regiji. </w:t>
      </w:r>
    </w:p>
    <w:p w:rsidR="00000000" w:rsidDel="00000000" w:rsidP="00000000" w:rsidRDefault="00000000" w:rsidRPr="00000000" w14:paraId="0000000D">
      <w:pPr>
        <w:widowControl w:val="0"/>
        <w:spacing w:before="235.2" w:line="276" w:lineRule="auto"/>
        <w:ind w:left="-297.6" w:right="-311.9999999999982"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Vabimo vas, da se nam pridružite pri glasovanju najboljših restavracij </w:t>
      </w:r>
      <w:r w:rsidDel="00000000" w:rsidR="00000000" w:rsidRPr="00000000">
        <w:rPr>
          <w:rFonts w:ascii="Arial" w:cs="Arial" w:eastAsia="Arial" w:hAnsi="Arial"/>
          <w:b w:val="1"/>
          <w:sz w:val="22"/>
          <w:szCs w:val="22"/>
          <w:rtl w:val="0"/>
        </w:rPr>
        <w:t xml:space="preserve">THE SLOVENIA RESTAURANT AWARDS 2020 </w:t>
      </w:r>
      <w:r w:rsidDel="00000000" w:rsidR="00000000" w:rsidRPr="00000000">
        <w:rPr>
          <w:rFonts w:ascii="Arial" w:cs="Arial" w:eastAsia="Arial" w:hAnsi="Arial"/>
          <w:b w:val="1"/>
          <w:sz w:val="22"/>
          <w:szCs w:val="22"/>
          <w:rtl w:val="0"/>
        </w:rPr>
        <w:t xml:space="preserve">in sodelujete pri ustvarjanju kulinarične prepoznavnosti Slovenije! Glasujte na </w:t>
      </w:r>
      <w:hyperlink r:id="rId6">
        <w:r w:rsidDel="00000000" w:rsidR="00000000" w:rsidRPr="00000000">
          <w:rPr>
            <w:rFonts w:ascii="Arial" w:cs="Arial" w:eastAsia="Arial" w:hAnsi="Arial"/>
            <w:b w:val="1"/>
            <w:color w:val="1155cc"/>
            <w:sz w:val="22"/>
            <w:szCs w:val="22"/>
            <w:u w:val="single"/>
            <w:rtl w:val="0"/>
          </w:rPr>
          <w:t xml:space="preserve">www.the-slovenia.com/tsra</w:t>
        </w:r>
      </w:hyperlink>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E">
      <w:pPr>
        <w:widowControl w:val="0"/>
        <w:spacing w:before="235.2" w:line="276" w:lineRule="auto"/>
        <w:ind w:left="-297.6" w:right="-311.9999999999982"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Glasovanje </w:t>
      </w:r>
      <w:r w:rsidDel="00000000" w:rsidR="00000000" w:rsidRPr="00000000">
        <w:rPr>
          <w:rFonts w:ascii="Arial" w:cs="Arial" w:eastAsia="Arial" w:hAnsi="Arial"/>
          <w:b w:val="1"/>
          <w:sz w:val="22"/>
          <w:szCs w:val="22"/>
          <w:rtl w:val="0"/>
        </w:rPr>
        <w:t xml:space="preserve">za javnost se je začelo 1.3.2020 in bo trajalo do 31.3.2020. Svoj glas lahko oddate na  </w:t>
      </w:r>
      <w:hyperlink r:id="rId7">
        <w:r w:rsidDel="00000000" w:rsidR="00000000" w:rsidRPr="00000000">
          <w:rPr>
            <w:rFonts w:ascii="Arial" w:cs="Arial" w:eastAsia="Arial" w:hAnsi="Arial"/>
            <w:b w:val="1"/>
            <w:color w:val="1155cc"/>
            <w:sz w:val="22"/>
            <w:szCs w:val="22"/>
            <w:u w:val="single"/>
            <w:rtl w:val="0"/>
          </w:rPr>
          <w:t xml:space="preserve">www.the-slovenia.com/sl/tsra</w:t>
        </w:r>
      </w:hyperlink>
      <w:r w:rsidDel="00000000" w:rsidR="00000000" w:rsidRPr="00000000">
        <w:rPr>
          <w:rFonts w:ascii="Arial" w:cs="Arial" w:eastAsia="Arial" w:hAnsi="Arial"/>
          <w:b w:val="1"/>
          <w:sz w:val="22"/>
          <w:szCs w:val="22"/>
          <w:rtl w:val="0"/>
        </w:rPr>
        <w:t xml:space="preserve">   </w:t>
      </w:r>
      <w:r w:rsidDel="00000000" w:rsidR="00000000" w:rsidRPr="00000000">
        <w:rPr>
          <w:rtl w:val="0"/>
        </w:rPr>
      </w:r>
    </w:p>
    <w:p w:rsidR="00000000" w:rsidDel="00000000" w:rsidP="00000000" w:rsidRDefault="00000000" w:rsidRPr="00000000" w14:paraId="0000000F">
      <w:pPr>
        <w:widowControl w:val="0"/>
        <w:spacing w:line="276" w:lineRule="auto"/>
        <w:ind w:left="-297.6" w:right="-311.9999999999982" w:firstLine="0"/>
        <w:jc w:val="both"/>
        <w:rPr>
          <w:rFonts w:ascii="Arial" w:cs="Arial" w:eastAsia="Arial" w:hAnsi="Arial"/>
          <w:b w:val="1"/>
          <w:sz w:val="22"/>
          <w:szCs w:val="22"/>
          <w:shd w:fill="fff2cc" w:val="clear"/>
        </w:rPr>
      </w:pPr>
      <w:r w:rsidDel="00000000" w:rsidR="00000000" w:rsidRPr="00000000">
        <w:rPr>
          <w:rFonts w:ascii="Arial" w:cs="Arial" w:eastAsia="Arial" w:hAnsi="Arial"/>
          <w:sz w:val="22"/>
          <w:szCs w:val="22"/>
          <w:rtl w:val="0"/>
        </w:rPr>
        <w:t xml:space="preserve">Spremljate pa nas lahko tudi na družabnih omrežjih </w:t>
      </w:r>
      <w:r w:rsidDel="00000000" w:rsidR="00000000" w:rsidRPr="00000000">
        <w:rPr>
          <w:rFonts w:ascii="Arial" w:cs="Arial" w:eastAsia="Arial" w:hAnsi="Arial"/>
          <w:b w:val="1"/>
          <w:sz w:val="22"/>
          <w:szCs w:val="22"/>
          <w:rtl w:val="0"/>
        </w:rPr>
        <w:t xml:space="preserve">Facebook, Instagram </w:t>
      </w:r>
      <w:r w:rsidDel="00000000" w:rsidR="00000000" w:rsidRPr="00000000">
        <w:rPr>
          <w:rFonts w:ascii="Arial" w:cs="Arial" w:eastAsia="Arial" w:hAnsi="Arial"/>
          <w:sz w:val="22"/>
          <w:szCs w:val="22"/>
          <w:rtl w:val="0"/>
        </w:rPr>
        <w:t xml:space="preserve">in </w:t>
      </w:r>
      <w:r w:rsidDel="00000000" w:rsidR="00000000" w:rsidRPr="00000000">
        <w:rPr>
          <w:rFonts w:ascii="Arial" w:cs="Arial" w:eastAsia="Arial" w:hAnsi="Arial"/>
          <w:b w:val="1"/>
          <w:sz w:val="22"/>
          <w:szCs w:val="22"/>
          <w:rtl w:val="0"/>
        </w:rPr>
        <w:t xml:space="preserve">LinkedIn #tsra.</w:t>
      </w:r>
      <w:r w:rsidDel="00000000" w:rsidR="00000000" w:rsidRPr="00000000">
        <w:rPr>
          <w:rFonts w:ascii="Arial" w:cs="Arial" w:eastAsia="Arial" w:hAnsi="Arial"/>
          <w:b w:val="1"/>
          <w:sz w:val="22"/>
          <w:szCs w:val="22"/>
          <w:shd w:fill="fff2cc" w:val="clear"/>
          <w:rtl w:val="0"/>
        </w:rPr>
        <w:t xml:space="preserve"> (hiperpovezave!)</w:t>
      </w:r>
    </w:p>
    <w:p w:rsidR="00000000" w:rsidDel="00000000" w:rsidP="00000000" w:rsidRDefault="00000000" w:rsidRPr="00000000" w14:paraId="00000010">
      <w:pPr>
        <w:widowControl w:val="0"/>
        <w:spacing w:line="276" w:lineRule="auto"/>
        <w:ind w:left="-297.6" w:right="-311.9999999999982" w:firstLine="0"/>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11">
      <w:pPr>
        <w:widowControl w:val="0"/>
        <w:spacing w:line="276" w:lineRule="auto"/>
        <w:ind w:left="-297.6" w:right="-311.9999999999982" w:firstLine="0"/>
        <w:jc w:val="both"/>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Za vse dodatne informacije in izjave smo vam na voljo na elektronskem naslovu </w:t>
      </w:r>
      <w:hyperlink r:id="rId8">
        <w:r w:rsidDel="00000000" w:rsidR="00000000" w:rsidRPr="00000000">
          <w:rPr>
            <w:rFonts w:ascii="Arial" w:cs="Arial" w:eastAsia="Arial" w:hAnsi="Arial"/>
            <w:i w:val="1"/>
            <w:sz w:val="22"/>
            <w:szCs w:val="22"/>
            <w:u w:val="single"/>
            <w:rtl w:val="0"/>
          </w:rPr>
          <w:t xml:space="preserve">anja.celar@the-slovenia.com</w:t>
        </w:r>
      </w:hyperlink>
      <w:r w:rsidDel="00000000" w:rsidR="00000000" w:rsidRPr="00000000">
        <w:rPr>
          <w:rFonts w:ascii="Arial" w:cs="Arial" w:eastAsia="Arial" w:hAnsi="Arial"/>
          <w:i w:val="1"/>
          <w:sz w:val="22"/>
          <w:szCs w:val="22"/>
          <w:rtl w:val="0"/>
        </w:rPr>
        <w:t xml:space="preserve"> </w:t>
      </w:r>
      <w:r w:rsidDel="00000000" w:rsidR="00000000" w:rsidRPr="00000000">
        <w:rPr>
          <w:rtl w:val="0"/>
        </w:rPr>
      </w:r>
    </w:p>
    <w:p w:rsidR="00000000" w:rsidDel="00000000" w:rsidP="00000000" w:rsidRDefault="00000000" w:rsidRPr="00000000" w14:paraId="00000012">
      <w:pPr>
        <w:widowControl w:val="0"/>
        <w:spacing w:before="278.4" w:line="276" w:lineRule="auto"/>
        <w:ind w:left="-297.6" w:right="6528.000000000001"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widowControl w:val="0"/>
        <w:spacing w:before="278.4" w:line="276" w:lineRule="auto"/>
        <w:ind w:left="-297.6" w:right="6528.000000000001"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widowControl w:val="0"/>
        <w:spacing w:before="278.4" w:line="276" w:lineRule="auto"/>
        <w:ind w:left="-297.6" w:right="3.543307086615073"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Priloga 1: seznam restavracij po regijah, logotip </w:t>
      </w:r>
    </w:p>
    <w:p w:rsidR="00000000" w:rsidDel="00000000" w:rsidP="00000000" w:rsidRDefault="00000000" w:rsidRPr="00000000" w14:paraId="00000015">
      <w:pPr>
        <w:widowControl w:val="0"/>
        <w:spacing w:before="278.4" w:line="276" w:lineRule="auto"/>
        <w:ind w:left="-297.6" w:right="3.543307086615073"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Priloga 2: razdelitev glasov gastronomskih društev </w:t>
      </w:r>
    </w:p>
    <w:p w:rsidR="00000000" w:rsidDel="00000000" w:rsidP="00000000" w:rsidRDefault="00000000" w:rsidRPr="00000000" w14:paraId="00000016">
      <w:pPr>
        <w:widowControl w:val="0"/>
        <w:spacing w:before="638.4000000000001" w:line="276" w:lineRule="auto"/>
        <w:ind w:left="1579.2000000000003" w:right="1569.600000000000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widowControl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widowControl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widowControl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widowControl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widowControl w:val="0"/>
        <w:jc w:val="both"/>
        <w:rPr>
          <w:rFonts w:ascii="Arial" w:cs="Arial" w:eastAsia="Arial" w:hAnsi="Arial"/>
          <w:sz w:val="22"/>
          <w:szCs w:val="22"/>
        </w:rPr>
      </w:pPr>
      <w:r w:rsidDel="00000000" w:rsidR="00000000" w:rsidRPr="00000000">
        <w:rPr>
          <w:rtl w:val="0"/>
        </w:rPr>
      </w:r>
    </w:p>
    <w:sectPr>
      <w:headerReference r:id="rId9" w:type="default"/>
      <w:headerReference r:id="rId10" w:type="first"/>
      <w:footerReference r:id="rId11" w:type="default"/>
      <w:footerReference r:id="rId12" w:type="first"/>
      <w:pgSz w:h="16840" w:w="11920"/>
      <w:pgMar w:bottom="280" w:top="700" w:left="708.6614173228347" w:right="858.5433070866151" w:header="170.07874015748033" w:footer="170.0787401574803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widowControl w:val="0"/>
      <w:ind w:left="0" w:right="-15" w:firstLine="0"/>
      <w:rPr>
        <w:rFonts w:ascii="Helvetica Neue" w:cs="Helvetica Neue" w:eastAsia="Helvetica Neue" w:hAnsi="Helvetica Neue"/>
        <w:b w:val="1"/>
        <w:sz w:val="20"/>
        <w:szCs w:val="20"/>
      </w:rPr>
    </w:pPr>
    <w:r w:rsidDel="00000000" w:rsidR="00000000" w:rsidRPr="00000000">
      <w:rPr>
        <w:sz w:val="20"/>
        <w:szCs w:val="20"/>
      </w:rPr>
      <mc:AlternateContent>
        <mc:Choice Requires="wpg">
          <w:drawing>
            <wp:inline distB="0" distT="0" distL="0" distR="0">
              <wp:extent cx="6655435" cy="358141"/>
              <wp:effectExtent b="0" l="0" r="0" t="0"/>
              <wp:docPr id="1" name=""/>
              <a:graphic>
                <a:graphicData uri="http://schemas.microsoft.com/office/word/2010/wordprocessingShape">
                  <wps:wsp>
                    <wps:cNvSpPr/>
                    <wps:cNvPr id="2" name="Shape 2"/>
                    <wps:spPr>
                      <a:xfrm>
                        <a:off x="2023045" y="3605692"/>
                        <a:ext cx="6645910" cy="348616"/>
                      </a:xfrm>
                      <a:custGeom>
                        <a:rect b="b" l="l" r="r" t="t"/>
                        <a:pathLst>
                          <a:path extrusionOk="0" h="21600" w="21600">
                            <a:moveTo>
                              <a:pt x="18139" y="7279"/>
                            </a:moveTo>
                            <a:lnTo>
                              <a:pt x="18137" y="7318"/>
                            </a:lnTo>
                            <a:lnTo>
                              <a:pt x="18135" y="7397"/>
                            </a:lnTo>
                            <a:lnTo>
                              <a:pt x="18050" y="9285"/>
                            </a:lnTo>
                            <a:lnTo>
                              <a:pt x="18032" y="9679"/>
                            </a:lnTo>
                            <a:lnTo>
                              <a:pt x="17633" y="18531"/>
                            </a:lnTo>
                            <a:lnTo>
                              <a:pt x="0" y="18531"/>
                            </a:lnTo>
                            <a:lnTo>
                              <a:pt x="0" y="21600"/>
                            </a:lnTo>
                            <a:lnTo>
                              <a:pt x="17714" y="21600"/>
                            </a:lnTo>
                            <a:lnTo>
                              <a:pt x="17755" y="20577"/>
                            </a:lnTo>
                            <a:lnTo>
                              <a:pt x="18141" y="11961"/>
                            </a:lnTo>
                            <a:lnTo>
                              <a:pt x="18358" y="11961"/>
                            </a:lnTo>
                            <a:lnTo>
                              <a:pt x="18246" y="9600"/>
                            </a:lnTo>
                            <a:lnTo>
                              <a:pt x="18139" y="7279"/>
                            </a:lnTo>
                            <a:close/>
                            <a:moveTo>
                              <a:pt x="20655" y="11764"/>
                            </a:moveTo>
                            <a:lnTo>
                              <a:pt x="20438" y="11764"/>
                            </a:lnTo>
                            <a:lnTo>
                              <a:pt x="20898" y="21403"/>
                            </a:lnTo>
                            <a:lnTo>
                              <a:pt x="20902" y="21600"/>
                            </a:lnTo>
                            <a:lnTo>
                              <a:pt x="21600" y="21600"/>
                            </a:lnTo>
                            <a:lnTo>
                              <a:pt x="21600" y="18531"/>
                            </a:lnTo>
                            <a:lnTo>
                              <a:pt x="20977" y="18531"/>
                            </a:lnTo>
                            <a:lnTo>
                              <a:pt x="20655" y="11764"/>
                            </a:lnTo>
                            <a:close/>
                            <a:moveTo>
                              <a:pt x="19485" y="4643"/>
                            </a:moveTo>
                            <a:lnTo>
                              <a:pt x="19268" y="4643"/>
                            </a:lnTo>
                            <a:lnTo>
                              <a:pt x="20038" y="20734"/>
                            </a:lnTo>
                            <a:lnTo>
                              <a:pt x="20244" y="16092"/>
                            </a:lnTo>
                            <a:lnTo>
                              <a:pt x="20034" y="16092"/>
                            </a:lnTo>
                            <a:lnTo>
                              <a:pt x="19485" y="4643"/>
                            </a:lnTo>
                            <a:close/>
                            <a:moveTo>
                              <a:pt x="18358" y="11961"/>
                            </a:moveTo>
                            <a:lnTo>
                              <a:pt x="18141" y="11961"/>
                            </a:lnTo>
                            <a:lnTo>
                              <a:pt x="18554" y="20577"/>
                            </a:lnTo>
                            <a:lnTo>
                              <a:pt x="18556" y="20538"/>
                            </a:lnTo>
                            <a:lnTo>
                              <a:pt x="18760" y="15974"/>
                            </a:lnTo>
                            <a:lnTo>
                              <a:pt x="18550" y="15974"/>
                            </a:lnTo>
                            <a:lnTo>
                              <a:pt x="18358" y="11961"/>
                            </a:lnTo>
                            <a:close/>
                            <a:moveTo>
                              <a:pt x="21600" y="18531"/>
                            </a:moveTo>
                            <a:lnTo>
                              <a:pt x="20977" y="18531"/>
                            </a:lnTo>
                            <a:lnTo>
                              <a:pt x="21600" y="18531"/>
                            </a:lnTo>
                            <a:close/>
                            <a:moveTo>
                              <a:pt x="20434" y="7161"/>
                            </a:moveTo>
                            <a:lnTo>
                              <a:pt x="20337" y="9325"/>
                            </a:lnTo>
                            <a:lnTo>
                              <a:pt x="20329" y="9482"/>
                            </a:lnTo>
                            <a:lnTo>
                              <a:pt x="20034" y="16092"/>
                            </a:lnTo>
                            <a:lnTo>
                              <a:pt x="20244" y="16092"/>
                            </a:lnTo>
                            <a:lnTo>
                              <a:pt x="20438" y="11764"/>
                            </a:lnTo>
                            <a:lnTo>
                              <a:pt x="20655" y="11764"/>
                            </a:lnTo>
                            <a:lnTo>
                              <a:pt x="20434" y="7161"/>
                            </a:lnTo>
                            <a:close/>
                            <a:moveTo>
                              <a:pt x="19264" y="0"/>
                            </a:moveTo>
                            <a:lnTo>
                              <a:pt x="19255" y="197"/>
                            </a:lnTo>
                            <a:lnTo>
                              <a:pt x="19229" y="787"/>
                            </a:lnTo>
                            <a:lnTo>
                              <a:pt x="19173" y="2046"/>
                            </a:lnTo>
                            <a:lnTo>
                              <a:pt x="19158" y="2361"/>
                            </a:lnTo>
                            <a:lnTo>
                              <a:pt x="18550" y="15974"/>
                            </a:lnTo>
                            <a:lnTo>
                              <a:pt x="18760" y="15974"/>
                            </a:lnTo>
                            <a:lnTo>
                              <a:pt x="19268" y="4643"/>
                            </a:lnTo>
                            <a:lnTo>
                              <a:pt x="19485" y="4643"/>
                            </a:lnTo>
                            <a:lnTo>
                              <a:pt x="19268" y="118"/>
                            </a:lnTo>
                            <a:lnTo>
                              <a:pt x="19264" y="0"/>
                            </a:lnTo>
                            <a:close/>
                          </a:path>
                        </a:pathLst>
                      </a:custGeom>
                      <a:solidFill>
                        <a:srgbClr val="000000"/>
                      </a:solidFill>
                      <a:ln>
                        <a:noFill/>
                      </a:ln>
                    </wps:spPr>
                    <wps:bodyPr anchorCtr="0" anchor="ctr" bIns="91425" lIns="91425" spcFirstLastPara="1" rIns="91425" wrap="square" tIns="91425">
                      <a:noAutofit/>
                    </wps:bodyPr>
                  </wps:wsp>
                </a:graphicData>
              </a:graphic>
            </wp:inline>
          </w:drawing>
        </mc:Choice>
        <mc:Fallback>
          <w:drawing>
            <wp:inline distB="0" distT="0" distL="0" distR="0">
              <wp:extent cx="6655435" cy="358141"/>
              <wp:effectExtent b="0" l="0" r="0" t="0"/>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655435" cy="358141"/>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F">
    <w:pPr>
      <w:widowControl w:val="0"/>
      <w:spacing w:before="47" w:lineRule="auto"/>
      <w:ind w:right="-15"/>
      <w:jc w:val="center"/>
      <w:rPr>
        <w:rFonts w:ascii="Helvetica Neue" w:cs="Helvetica Neue" w:eastAsia="Helvetica Neue" w:hAnsi="Helvetica Neue"/>
        <w:b w:val="0"/>
        <w:i w:val="0"/>
        <w:smallCaps w:val="0"/>
        <w:strike w:val="0"/>
        <w:color w:val="000000"/>
        <w:sz w:val="22"/>
        <w:szCs w:val="22"/>
        <w:u w:val="none"/>
        <w:shd w:fill="auto" w:val="clear"/>
        <w:vertAlign w:val="baseline"/>
      </w:rPr>
    </w:pPr>
    <w:hyperlink r:id="rId2">
      <w:r w:rsidDel="00000000" w:rsidR="00000000" w:rsidRPr="00000000">
        <w:rPr>
          <w:rFonts w:ascii="Helvetica Neue" w:cs="Helvetica Neue" w:eastAsia="Helvetica Neue" w:hAnsi="Helvetica Neue"/>
          <w:color w:val="275b9b"/>
          <w:sz w:val="20"/>
          <w:szCs w:val="20"/>
          <w:u w:val="single"/>
          <w:rtl w:val="0"/>
        </w:rPr>
        <w:t xml:space="preserve">www.the-slovenia.com</w:t>
      </w:r>
    </w:hyperlink>
    <w:r w:rsidDel="00000000" w:rsidR="00000000" w:rsidRPr="00000000">
      <w:rPr>
        <w:rFonts w:ascii="Helvetica Neue" w:cs="Helvetica Neue" w:eastAsia="Helvetica Neue" w:hAnsi="Helvetica Neue"/>
        <w:sz w:val="22"/>
        <w:szCs w:val="22"/>
        <w:rtl w:val="0"/>
      </w:rPr>
      <w:t xml:space="preserve">, IQbator d.o.o, Miklošičev 38, 1000 Ljubljana</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widowControl w:val="0"/>
      <w:spacing w:before="47" w:lineRule="auto"/>
      <w:ind w:right="-15"/>
      <w:jc w:val="center"/>
      <w:rPr>
        <w:rFonts w:ascii="Helvetica Neue" w:cs="Helvetica Neue" w:eastAsia="Helvetica Neue" w:hAnsi="Helvetica Neue"/>
        <w:sz w:val="20"/>
        <w:szCs w:val="20"/>
      </w:rPr>
    </w:pPr>
    <w:hyperlink r:id="rId1">
      <w:r w:rsidDel="00000000" w:rsidR="00000000" w:rsidRPr="00000000">
        <w:rPr>
          <w:rFonts w:ascii="Helvetica Neue" w:cs="Helvetica Neue" w:eastAsia="Helvetica Neue" w:hAnsi="Helvetica Neue"/>
          <w:color w:val="1155cc"/>
          <w:sz w:val="20"/>
          <w:szCs w:val="20"/>
          <w:u w:val="single"/>
          <w:rtl w:val="0"/>
        </w:rPr>
        <w:t xml:space="preserve">www.the-slovenia.com</w:t>
      </w:r>
    </w:hyperlink>
    <w:r w:rsidDel="00000000" w:rsidR="00000000" w:rsidRPr="00000000">
      <w:rPr>
        <w:rFonts w:ascii="Helvetica Neue" w:cs="Helvetica Neue" w:eastAsia="Helvetica Neue" w:hAnsi="Helvetica Neue"/>
        <w:sz w:val="20"/>
        <w:szCs w:val="20"/>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tabs>
        <w:tab w:val="left" w:pos="7351"/>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widowControl w:val="0"/>
      <w:tabs>
        <w:tab w:val="left" w:pos="7351"/>
      </w:tabs>
      <w:ind w:right="-15"/>
      <w:rPr>
        <w:sz w:val="33.333333333333336"/>
        <w:szCs w:val="33.333333333333336"/>
        <w:vertAlign w:val="superscript"/>
      </w:rPr>
    </w:pPr>
    <w:r w:rsidDel="00000000" w:rsidR="00000000" w:rsidRPr="00000000">
      <w:rPr>
        <w:sz w:val="33.333333333333336"/>
        <w:szCs w:val="33.333333333333336"/>
        <w:vertAlign w:val="superscript"/>
      </w:rPr>
      <w:drawing>
        <wp:inline distB="0" distT="0" distL="0" distR="0">
          <wp:extent cx="556562" cy="592087"/>
          <wp:effectExtent b="0" l="0" r="0" t="0"/>
          <wp:docPr descr="image1.png" id="4" name="image1.png"/>
          <a:graphic>
            <a:graphicData uri="http://schemas.openxmlformats.org/drawingml/2006/picture">
              <pic:pic>
                <pic:nvPicPr>
                  <pic:cNvPr descr="image1.png" id="0" name="image1.png"/>
                  <pic:cNvPicPr preferRelativeResize="0"/>
                </pic:nvPicPr>
                <pic:blipFill>
                  <a:blip r:embed="rId1"/>
                  <a:srcRect b="0" l="0" r="0" t="0"/>
                  <a:stretch>
                    <a:fillRect/>
                  </a:stretch>
                </pic:blipFill>
                <pic:spPr>
                  <a:xfrm>
                    <a:off x="0" y="0"/>
                    <a:ext cx="556562" cy="592087"/>
                  </a:xfrm>
                  <a:prstGeom prst="rect"/>
                  <a:ln/>
                </pic:spPr>
              </pic:pic>
            </a:graphicData>
          </a:graphic>
        </wp:inline>
      </w:drawing>
    </w:r>
    <w:r w:rsidDel="00000000" w:rsidR="00000000" w:rsidRPr="00000000">
      <w:rPr>
        <w:sz w:val="33.333333333333336"/>
        <w:szCs w:val="33.333333333333336"/>
        <w:vertAlign w:val="superscript"/>
      </w:rPr>
      <w:drawing>
        <wp:inline distB="114300" distT="114300" distL="114300" distR="114300">
          <wp:extent cx="1128713" cy="675298"/>
          <wp:effectExtent b="0" l="0" r="0" t="0"/>
          <wp:docPr id="3"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128713" cy="675298"/>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widowControl w:val="0"/>
      <w:tabs>
        <w:tab w:val="left" w:pos="7351"/>
      </w:tabs>
      <w:ind w:right="-15"/>
      <w:rPr>
        <w:sz w:val="20"/>
        <w:szCs w:val="20"/>
      </w:rPr>
    </w:pPr>
    <w:r w:rsidDel="00000000" w:rsidR="00000000" w:rsidRPr="00000000">
      <w:rPr>
        <w:sz w:val="20"/>
        <w:szCs w:val="20"/>
      </w:rPr>
      <mc:AlternateContent>
        <mc:Choice Requires="wpg">
          <w:drawing>
            <wp:inline distB="0" distT="0" distL="0" distR="0">
              <wp:extent cx="6655435" cy="358141"/>
              <wp:effectExtent b="0" l="0" r="0" t="0"/>
              <wp:docPr id="2" name=""/>
              <a:graphic>
                <a:graphicData uri="http://schemas.microsoft.com/office/word/2010/wordprocessingShape">
                  <wps:wsp>
                    <wps:cNvSpPr/>
                    <wps:cNvPr id="2" name="Shape 2"/>
                    <wps:spPr>
                      <a:xfrm>
                        <a:off x="2023045" y="3605692"/>
                        <a:ext cx="6645910" cy="348616"/>
                      </a:xfrm>
                      <a:custGeom>
                        <a:rect b="b" l="l" r="r" t="t"/>
                        <a:pathLst>
                          <a:path extrusionOk="0" h="21600" w="21600">
                            <a:moveTo>
                              <a:pt x="18139" y="7279"/>
                            </a:moveTo>
                            <a:lnTo>
                              <a:pt x="18137" y="7318"/>
                            </a:lnTo>
                            <a:lnTo>
                              <a:pt x="18135" y="7397"/>
                            </a:lnTo>
                            <a:lnTo>
                              <a:pt x="18050" y="9285"/>
                            </a:lnTo>
                            <a:lnTo>
                              <a:pt x="18032" y="9679"/>
                            </a:lnTo>
                            <a:lnTo>
                              <a:pt x="17633" y="18531"/>
                            </a:lnTo>
                            <a:lnTo>
                              <a:pt x="0" y="18531"/>
                            </a:lnTo>
                            <a:lnTo>
                              <a:pt x="0" y="21600"/>
                            </a:lnTo>
                            <a:lnTo>
                              <a:pt x="17714" y="21600"/>
                            </a:lnTo>
                            <a:lnTo>
                              <a:pt x="17755" y="20577"/>
                            </a:lnTo>
                            <a:lnTo>
                              <a:pt x="18141" y="11961"/>
                            </a:lnTo>
                            <a:lnTo>
                              <a:pt x="18358" y="11961"/>
                            </a:lnTo>
                            <a:lnTo>
                              <a:pt x="18246" y="9600"/>
                            </a:lnTo>
                            <a:lnTo>
                              <a:pt x="18139" y="7279"/>
                            </a:lnTo>
                            <a:close/>
                            <a:moveTo>
                              <a:pt x="20655" y="11764"/>
                            </a:moveTo>
                            <a:lnTo>
                              <a:pt x="20438" y="11764"/>
                            </a:lnTo>
                            <a:lnTo>
                              <a:pt x="20898" y="21403"/>
                            </a:lnTo>
                            <a:lnTo>
                              <a:pt x="20902" y="21600"/>
                            </a:lnTo>
                            <a:lnTo>
                              <a:pt x="21600" y="21600"/>
                            </a:lnTo>
                            <a:lnTo>
                              <a:pt x="21600" y="18531"/>
                            </a:lnTo>
                            <a:lnTo>
                              <a:pt x="20977" y="18531"/>
                            </a:lnTo>
                            <a:lnTo>
                              <a:pt x="20655" y="11764"/>
                            </a:lnTo>
                            <a:close/>
                            <a:moveTo>
                              <a:pt x="19485" y="4643"/>
                            </a:moveTo>
                            <a:lnTo>
                              <a:pt x="19268" y="4643"/>
                            </a:lnTo>
                            <a:lnTo>
                              <a:pt x="20038" y="20734"/>
                            </a:lnTo>
                            <a:lnTo>
                              <a:pt x="20244" y="16092"/>
                            </a:lnTo>
                            <a:lnTo>
                              <a:pt x="20034" y="16092"/>
                            </a:lnTo>
                            <a:lnTo>
                              <a:pt x="19485" y="4643"/>
                            </a:lnTo>
                            <a:close/>
                            <a:moveTo>
                              <a:pt x="18358" y="11961"/>
                            </a:moveTo>
                            <a:lnTo>
                              <a:pt x="18141" y="11961"/>
                            </a:lnTo>
                            <a:lnTo>
                              <a:pt x="18554" y="20577"/>
                            </a:lnTo>
                            <a:lnTo>
                              <a:pt x="18556" y="20538"/>
                            </a:lnTo>
                            <a:lnTo>
                              <a:pt x="18760" y="15974"/>
                            </a:lnTo>
                            <a:lnTo>
                              <a:pt x="18550" y="15974"/>
                            </a:lnTo>
                            <a:lnTo>
                              <a:pt x="18358" y="11961"/>
                            </a:lnTo>
                            <a:close/>
                            <a:moveTo>
                              <a:pt x="21600" y="18531"/>
                            </a:moveTo>
                            <a:lnTo>
                              <a:pt x="20977" y="18531"/>
                            </a:lnTo>
                            <a:lnTo>
                              <a:pt x="21600" y="18531"/>
                            </a:lnTo>
                            <a:close/>
                            <a:moveTo>
                              <a:pt x="20434" y="7161"/>
                            </a:moveTo>
                            <a:lnTo>
                              <a:pt x="20337" y="9325"/>
                            </a:lnTo>
                            <a:lnTo>
                              <a:pt x="20329" y="9482"/>
                            </a:lnTo>
                            <a:lnTo>
                              <a:pt x="20034" y="16092"/>
                            </a:lnTo>
                            <a:lnTo>
                              <a:pt x="20244" y="16092"/>
                            </a:lnTo>
                            <a:lnTo>
                              <a:pt x="20438" y="11764"/>
                            </a:lnTo>
                            <a:lnTo>
                              <a:pt x="20655" y="11764"/>
                            </a:lnTo>
                            <a:lnTo>
                              <a:pt x="20434" y="7161"/>
                            </a:lnTo>
                            <a:close/>
                            <a:moveTo>
                              <a:pt x="19264" y="0"/>
                            </a:moveTo>
                            <a:lnTo>
                              <a:pt x="19255" y="197"/>
                            </a:lnTo>
                            <a:lnTo>
                              <a:pt x="19229" y="787"/>
                            </a:lnTo>
                            <a:lnTo>
                              <a:pt x="19173" y="2046"/>
                            </a:lnTo>
                            <a:lnTo>
                              <a:pt x="19158" y="2361"/>
                            </a:lnTo>
                            <a:lnTo>
                              <a:pt x="18550" y="15974"/>
                            </a:lnTo>
                            <a:lnTo>
                              <a:pt x="18760" y="15974"/>
                            </a:lnTo>
                            <a:lnTo>
                              <a:pt x="19268" y="4643"/>
                            </a:lnTo>
                            <a:lnTo>
                              <a:pt x="19485" y="4643"/>
                            </a:lnTo>
                            <a:lnTo>
                              <a:pt x="19268" y="118"/>
                            </a:lnTo>
                            <a:lnTo>
                              <a:pt x="19264" y="0"/>
                            </a:lnTo>
                            <a:close/>
                          </a:path>
                        </a:pathLst>
                      </a:custGeom>
                      <a:solidFill>
                        <a:srgbClr val="000000"/>
                      </a:solidFill>
                      <a:ln>
                        <a:noFill/>
                      </a:ln>
                    </wps:spPr>
                    <wps:bodyPr anchorCtr="0" anchor="ctr" bIns="91425" lIns="91425" spcFirstLastPara="1" rIns="91425" wrap="square" tIns="91425">
                      <a:noAutofit/>
                    </wps:bodyPr>
                  </wps:wsp>
                </a:graphicData>
              </a:graphic>
            </wp:inline>
          </w:drawing>
        </mc:Choice>
        <mc:Fallback>
          <w:drawing>
            <wp:inline distB="0" distT="0" distL="0" distR="0">
              <wp:extent cx="6655435" cy="358141"/>
              <wp:effectExtent b="0" l="0" r="0" t="0"/>
              <wp:docPr id="2"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6655435" cy="358141"/>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2">
    <w:pPr>
      <w:widowControl w:val="0"/>
      <w:spacing w:before="2" w:lineRule="auto"/>
      <w:ind w:left="0" w:firstLine="0"/>
      <w:rPr>
        <w:sz w:val="10"/>
        <w:szCs w:val="10"/>
      </w:rPr>
    </w:pPr>
    <w:r w:rsidDel="00000000" w:rsidR="00000000" w:rsidRPr="00000000">
      <w:rPr>
        <w:rtl w:val="0"/>
      </w:rPr>
    </w:r>
  </w:p>
  <w:p w:rsidR="00000000" w:rsidDel="00000000" w:rsidP="00000000" w:rsidRDefault="00000000" w:rsidRPr="00000000" w14:paraId="00000023">
    <w:pPr>
      <w:widowControl w:val="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Sporočilo za javnost </w:t>
    </w:r>
  </w:p>
  <w:p w:rsidR="00000000" w:rsidDel="00000000" w:rsidP="00000000" w:rsidRDefault="00000000" w:rsidRPr="00000000" w14:paraId="00000024">
    <w:pPr>
      <w:widowControl w:val="0"/>
      <w:jc w:val="both"/>
      <w:rPr>
        <w:b w:val="1"/>
        <w:sz w:val="20"/>
        <w:szCs w:val="20"/>
      </w:rPr>
    </w:pPr>
    <w:r w:rsidDel="00000000" w:rsidR="00000000" w:rsidRPr="00000000">
      <w:rPr>
        <w:rFonts w:ascii="Arial" w:cs="Arial" w:eastAsia="Arial" w:hAnsi="Arial"/>
        <w:b w:val="1"/>
        <w:sz w:val="20"/>
        <w:szCs w:val="20"/>
        <w:rtl w:val="0"/>
      </w:rPr>
      <w:t xml:space="preserve">Ljubljana, ponedeljek, 2.3.2020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the-slovenia.com/tsra" TargetMode="External"/><Relationship Id="rId7" Type="http://schemas.openxmlformats.org/officeDocument/2006/relationships/hyperlink" Target="http://www.the-slovenia.com/sl/tsra" TargetMode="External"/><Relationship Id="rId8" Type="http://schemas.openxmlformats.org/officeDocument/2006/relationships/hyperlink" Target="mailto:anja.celar@the-sloveni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www.the-sloveni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he-sloven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